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shd w:fill="FFFFFF" w:val="clear"/>
        <w:spacing w:lineRule="auto" w:line="240"/>
        <w:ind w:end="0"/>
        <w:jc w:val="start"/>
        <w:rPr>
          <w:b w:val="false"/>
          <w:bCs w:val="false"/>
          <w:color w:val="000000"/>
          <w:sz w:val="24"/>
          <w:szCs w:val="24"/>
        </w:rPr>
      </w:pPr>
      <w:r>
        <w:rPr>
          <w:b w:val="false"/>
          <w:bCs w:val="false"/>
          <w:color w:val="000000"/>
          <w:sz w:val="24"/>
          <w:szCs w:val="24"/>
        </w:rPr>
        <w:t xml:space="preserve">                                                                                   </w:t>
      </w:r>
    </w:p>
    <w:p>
      <w:pPr>
        <w:pStyle w:val="6"/>
        <w:shd w:fill="FFFFFF" w:val="clear"/>
        <w:spacing w:lineRule="auto" w:line="240" w:before="0" w:after="200"/>
        <w:ind w:start="120" w:end="0"/>
        <w:jc w:val="center"/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>ТАРИФЫ</w:t>
      </w:r>
    </w:p>
    <w:p>
      <w:pPr>
        <w:pStyle w:val="7"/>
        <w:shd w:fill="FFFFFF" w:val="clear"/>
        <w:spacing w:lineRule="auto" w:line="240"/>
        <w:ind w:start="120" w:end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на услуги охраны имущества граждан и организаций, а также иных услуг, связанных с обеспечением охраны имущества, </w:t>
      </w:r>
    </w:p>
    <w:p>
      <w:pPr>
        <w:pStyle w:val="7"/>
        <w:shd w:fill="FFFFFF" w:val="clear"/>
        <w:spacing w:lineRule="auto" w:line="240"/>
        <w:ind w:start="120" w:end="0"/>
        <w:jc w:val="center"/>
        <w:rPr/>
      </w:pPr>
      <w:r>
        <w:rPr>
          <w:b/>
          <w:bCs/>
          <w:color w:val="000000"/>
          <w:sz w:val="28"/>
          <w:szCs w:val="28"/>
        </w:rPr>
        <w:t xml:space="preserve">оказываемые </w:t>
      </w:r>
      <w:r>
        <w:rPr>
          <w:rFonts w:eastAsia="Times New Roman" w:cs="Times New Roman"/>
          <w:b/>
          <w:bCs/>
          <w:color w:val="000000"/>
          <w:kern w:val="0"/>
          <w:sz w:val="28"/>
          <w:szCs w:val="28"/>
          <w:lang w:val="ru-RU" w:eastAsia="ru-RU" w:bidi="ar-SA"/>
        </w:rPr>
        <w:t xml:space="preserve">УВО </w:t>
      </w:r>
      <w:r>
        <w:rPr>
          <w:b/>
          <w:bCs/>
          <w:color w:val="000000"/>
          <w:sz w:val="28"/>
          <w:szCs w:val="28"/>
        </w:rPr>
        <w:t>и его</w:t>
      </w:r>
      <w:bookmarkStart w:id="0" w:name="bookmark1"/>
      <w:bookmarkEnd w:id="0"/>
      <w:r>
        <w:rPr>
          <w:b/>
          <w:bCs/>
          <w:color w:val="000000"/>
          <w:sz w:val="28"/>
          <w:szCs w:val="28"/>
        </w:rPr>
        <w:t xml:space="preserve"> филиалами</w:t>
      </w:r>
    </w:p>
    <w:p>
      <w:pPr>
        <w:pStyle w:val="7"/>
        <w:shd w:fill="FFFFFF" w:val="clear"/>
        <w:spacing w:lineRule="auto" w:line="240"/>
        <w:ind w:start="120" w:end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7"/>
        <w:shd w:fill="FFFFFF" w:val="clear"/>
        <w:spacing w:lineRule="auto" w:line="240"/>
        <w:ind w:start="120" w:end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tbl>
      <w:tblPr>
        <w:tblW w:w="9220" w:type="dxa"/>
        <w:jc w:val="start"/>
        <w:tblInd w:w="-73" w:type="dxa"/>
        <w:tblLayout w:type="fixed"/>
        <w:tblCellMar>
          <w:top w:w="0" w:type="dxa"/>
          <w:start w:w="5" w:type="dxa"/>
          <w:bottom w:w="0" w:type="dxa"/>
          <w:end w:w="10" w:type="dxa"/>
        </w:tblCellMar>
      </w:tblPr>
      <w:tblGrid>
        <w:gridCol w:w="675"/>
        <w:gridCol w:w="5732"/>
        <w:gridCol w:w="1637"/>
        <w:gridCol w:w="1176"/>
      </w:tblGrid>
      <w:tr>
        <w:trPr>
          <w:trHeight w:val="733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26"/>
              <w:shd w:fill="FFFFFF" w:val="clear"/>
              <w:spacing w:lineRule="auto" w:line="240"/>
              <w:rPr/>
            </w:pPr>
            <w:r>
              <w:rPr>
                <w:sz w:val="24"/>
                <w:szCs w:val="24"/>
              </w:rPr>
              <w:t>№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Наименование услуг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26"/>
              <w:shd w:fill="FFFFFF" w:val="clear"/>
              <w:spacing w:lineRule="auto" w:line="240"/>
              <w:ind w:start="132" w:end="0"/>
              <w:rPr/>
            </w:pPr>
            <w:r>
              <w:rPr>
                <w:rStyle w:val="212pt"/>
                <w:sz w:val="24"/>
                <w:szCs w:val="24"/>
              </w:rPr>
              <w:t>Единица измерения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10" w:end="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Тариф</w:t>
            </w:r>
          </w:p>
        </w:tc>
      </w:tr>
      <w:tr>
        <w:trPr>
          <w:trHeight w:val="848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26"/>
              <w:shd w:fill="FFFFFF" w:val="clear"/>
              <w:spacing w:lineRule="auto" w:line="240"/>
              <w:ind w:firstLine="142" w:end="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4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>
                <w:rStyle w:val="214pt"/>
                <w:sz w:val="24"/>
                <w:szCs w:val="24"/>
              </w:rPr>
              <w:t>Тарифы на охрану имущества и объектов органов государственной власти Российской Федерации и организаций, финансируемых за счет средств федерального бюджета</w:t>
            </w:r>
          </w:p>
        </w:tc>
      </w:tr>
      <w:tr>
        <w:trPr>
          <w:trHeight w:val="421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854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76"/>
              <w:ind w:end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Полицейская охрана объекта:</w:t>
            </w:r>
          </w:p>
          <w:p>
            <w:pPr>
              <w:pStyle w:val="26"/>
              <w:shd w:fill="FFFFFF" w:val="clear"/>
              <w:spacing w:lineRule="auto" w:line="276"/>
              <w:ind w:firstLine="127" w:end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26"/>
              <w:shd w:fill="FFFFFF" w:val="clear"/>
              <w:spacing w:lineRule="auto" w:line="276"/>
              <w:ind w:firstLine="127" w:end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26"/>
              <w:shd w:fill="FFFFFF" w:val="clear"/>
              <w:spacing w:lineRule="auto" w:line="276"/>
              <w:ind w:firstLine="127" w:end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</w:tc>
      </w:tr>
      <w:tr>
        <w:trPr>
          <w:trHeight w:val="569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1.1.1.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4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Стационарный пост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 за 1 сотрудника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185 руб.</w:t>
            </w:r>
          </w:p>
        </w:tc>
      </w:tr>
      <w:tr>
        <w:trPr>
          <w:trHeight w:val="619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4pt"/>
                <w:b/>
                <w:bCs/>
                <w:sz w:val="24"/>
                <w:szCs w:val="24"/>
              </w:rPr>
              <w:t>1.2.</w:t>
            </w:r>
          </w:p>
        </w:tc>
        <w:tc>
          <w:tcPr>
            <w:tcW w:w="854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>
                <w:rStyle w:val="214pt"/>
                <w:sz w:val="24"/>
                <w:szCs w:val="24"/>
              </w:rPr>
              <w:t>Охрана объектов с использованием каналов сотовой связи, радиоканал, интернет:</w:t>
            </w:r>
          </w:p>
        </w:tc>
      </w:tr>
      <w:tr>
        <w:trPr>
          <w:trHeight w:val="880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1.</w:t>
            </w:r>
            <w:r>
              <w:rPr>
                <w:rStyle w:val="212pt"/>
                <w:rFonts w:eastAsia="Times New Roman" w:cs="Times New Roman"/>
                <w:color w:val="000000"/>
                <w:spacing w:val="0"/>
                <w:w w:val="100"/>
                <w:kern w:val="0"/>
                <w:sz w:val="24"/>
                <w:szCs w:val="24"/>
                <w:highlight w:val="white"/>
                <w:u w:val="none"/>
                <w:lang w:val="ru-RU" w:eastAsia="ru-RU" w:bidi="ar-SA"/>
              </w:rPr>
              <w:t>2</w:t>
            </w:r>
            <w:r>
              <w:rPr>
                <w:rStyle w:val="212pt"/>
                <w:sz w:val="24"/>
                <w:szCs w:val="24"/>
              </w:rPr>
              <w:t>.1.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Охрана имущества путем оперативного реагирования на сообщения о срабатывании охранно-пожарной сигнализации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5,3 руб.</w:t>
            </w:r>
          </w:p>
        </w:tc>
      </w:tr>
      <w:tr>
        <w:trPr>
          <w:trHeight w:val="1316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1.</w:t>
            </w:r>
            <w:r>
              <w:rPr>
                <w:rStyle w:val="212pt"/>
                <w:rFonts w:eastAsia="Times New Roman" w:cs="Times New Roman"/>
                <w:color w:val="000000"/>
                <w:spacing w:val="0"/>
                <w:w w:val="100"/>
                <w:kern w:val="0"/>
                <w:sz w:val="24"/>
                <w:szCs w:val="24"/>
                <w:highlight w:val="white"/>
                <w:u w:val="none"/>
                <w:lang w:val="ru-RU" w:eastAsia="ru-RU" w:bidi="ar-SA"/>
              </w:rPr>
              <w:t>2</w:t>
            </w:r>
            <w:r>
              <w:rPr>
                <w:rStyle w:val="212pt"/>
                <w:sz w:val="24"/>
                <w:szCs w:val="24"/>
              </w:rPr>
              <w:t>.2.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Централизованное наблюдение за состоянием системы тревожной сигнализации и оперативное реагирование на сообщения при срабатывании тревожной сигнализации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3,5 руб.</w:t>
            </w:r>
          </w:p>
        </w:tc>
      </w:tr>
      <w:tr>
        <w:trPr>
          <w:trHeight w:val="538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26"/>
              <w:shd w:fill="FFFFFF" w:val="clear"/>
              <w:spacing w:lineRule="auto" w:line="240"/>
              <w:ind w:firstLine="142" w:end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8545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26"/>
              <w:shd w:fill="FFFFFF" w:val="clear"/>
              <w:spacing w:lineRule="auto" w:line="240"/>
              <w:ind w:end="132"/>
              <w:jc w:val="both"/>
              <w:rPr/>
            </w:pPr>
            <w:r>
              <w:rPr>
                <w:rStyle w:val="214pt"/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Style w:val="214pt"/>
                <w:sz w:val="24"/>
                <w:szCs w:val="24"/>
              </w:rPr>
              <w:t>Тарифы на охрану прочих объектов</w:t>
            </w:r>
          </w:p>
        </w:tc>
      </w:tr>
      <w:tr>
        <w:trPr>
          <w:trHeight w:val="706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2.1.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41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Полицейская охрана объекта: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napToGrid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napToGrid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795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2.1.1.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4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Стационарный пост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 за 1 сотрудника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244 руб.</w:t>
            </w:r>
          </w:p>
        </w:tc>
      </w:tr>
      <w:tr>
        <w:trPr>
          <w:trHeight w:val="795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2.2.</w:t>
            </w:r>
          </w:p>
        </w:tc>
        <w:tc>
          <w:tcPr>
            <w:tcW w:w="854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>
                <w:rStyle w:val="212pt"/>
                <w:b/>
                <w:sz w:val="24"/>
                <w:szCs w:val="24"/>
              </w:rPr>
              <w:t>Охрана объектов с использованием каналов сотовой связи, радиоканал, интернет:</w:t>
            </w:r>
          </w:p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/>
            </w:r>
          </w:p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/>
            </w:r>
          </w:p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/>
            </w:r>
          </w:p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/>
            </w:r>
          </w:p>
        </w:tc>
      </w:tr>
      <w:tr>
        <w:trPr>
          <w:trHeight w:val="1088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2.2.1.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Охрана имущества путем оперативного реагирования на сообщения о срабатывании охранно-пожарной сигнализации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6,9 руб.</w:t>
            </w:r>
          </w:p>
        </w:tc>
      </w:tr>
      <w:tr>
        <w:trPr>
          <w:trHeight w:val="1088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2.2.2.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Централизованное наблюдение за состоянием системы тревожной сигнализации и оперативное реагирование на сообщения при срабатывании тревожной сигнализации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4,6 руб.</w:t>
            </w:r>
          </w:p>
        </w:tc>
      </w:tr>
      <w:tr>
        <w:trPr>
          <w:trHeight w:val="772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45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0"/>
              <w:jc w:val="both"/>
              <w:rPr>
                <w:rStyle w:val="212pt"/>
                <w:b/>
                <w:bCs/>
                <w:sz w:val="24"/>
                <w:szCs w:val="24"/>
              </w:rPr>
            </w:pPr>
            <w:r>
              <w:rPr>
                <w:rStyle w:val="214pt"/>
                <w:sz w:val="24"/>
                <w:szCs w:val="24"/>
              </w:rPr>
              <w:t xml:space="preserve">Тарифы на </w:t>
            </w:r>
            <w:r>
              <w:rPr>
                <w:rStyle w:val="212pt"/>
                <w:b/>
                <w:sz w:val="24"/>
                <w:szCs w:val="24"/>
              </w:rPr>
              <w:t>централизованную охрану   мест проживания и хранения имущества граждан</w:t>
            </w:r>
            <w:r>
              <w:rPr>
                <w:rStyle w:val="FootnoteReference"/>
                <w:rStyle w:val="FootnoteReference"/>
                <w:b/>
                <w:sz w:val="24"/>
                <w:szCs w:val="24"/>
              </w:rPr>
              <w:footnoteReference w:customMarkFollows="1" w:id="2"/>
              <w:t>1</w:t>
            </w:r>
          </w:p>
        </w:tc>
      </w:tr>
      <w:tr>
        <w:trPr>
          <w:trHeight w:val="855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3.1</w:t>
            </w:r>
            <w:r>
              <w:rPr>
                <w:rStyle w:val="212pt"/>
                <w:sz w:val="24"/>
                <w:szCs w:val="24"/>
              </w:rPr>
              <w:t>.</w:t>
            </w:r>
          </w:p>
        </w:tc>
        <w:tc>
          <w:tcPr>
            <w:tcW w:w="854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end="131"/>
              <w:jc w:val="both"/>
              <w:rPr/>
            </w:pPr>
            <w:r>
              <w:rPr>
                <w:rStyle w:val="212pt"/>
                <w:b/>
                <w:sz w:val="24"/>
                <w:szCs w:val="24"/>
              </w:rPr>
              <w:t>Охрана МПХИГ путем оперативного реагирования на сообщение о срабатывании охранно-пожарной сигнализации на ПЦН:</w:t>
            </w:r>
          </w:p>
        </w:tc>
      </w:tr>
      <w:tr>
        <w:trPr>
          <w:trHeight w:val="832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3.1.1.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>Для отдела вневедомственной охраны</w:t>
            </w:r>
            <w:r>
              <w:rPr>
                <w:rStyle w:val="212pt"/>
                <w:rFonts w:eastAsia="Times New Roman" w:cs="Times New Roman"/>
                <w:color w:val="000000"/>
                <w:spacing w:val="0"/>
                <w:w w:val="100"/>
                <w:kern w:val="0"/>
                <w:sz w:val="24"/>
                <w:szCs w:val="24"/>
                <w:highlight w:val="white"/>
                <w:u w:val="none"/>
                <w:vertAlign w:val="superscript"/>
                <w:lang w:val="ru-RU" w:eastAsia="ru-RU" w:bidi="ar-SA"/>
              </w:rPr>
              <w:t>2</w:t>
            </w:r>
            <w:r>
              <w:rPr>
                <w:rStyle w:val="212pt"/>
                <w:sz w:val="24"/>
                <w:szCs w:val="24"/>
              </w:rPr>
              <w:t xml:space="preserve"> г. Ижевска при оценке имущества 60 тыс. руб.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285 руб.</w:t>
            </w:r>
          </w:p>
        </w:tc>
      </w:tr>
      <w:tr>
        <w:trPr>
          <w:trHeight w:val="845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3.1.2.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>Для ОВО (МОВО) г.г. Воткинска, Глазова, Можги, Сарапула при оценке имущества 45 тыс. руб.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235 руб.</w:t>
            </w:r>
          </w:p>
        </w:tc>
      </w:tr>
      <w:tr>
        <w:trPr>
          <w:trHeight w:val="660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3.1.3.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>Для ОВО (МОВО) районных центров при оценке имущества 30 тыс. руб.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186 руб.</w:t>
            </w:r>
          </w:p>
        </w:tc>
      </w:tr>
      <w:tr>
        <w:trPr>
          <w:trHeight w:val="655" w:hRule="exact"/>
        </w:trPr>
        <w:tc>
          <w:tcPr>
            <w:tcW w:w="9220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b/>
                <w:bCs/>
              </w:rPr>
              <w:t xml:space="preserve">   </w:t>
            </w:r>
            <w:r>
              <w:rPr>
                <w:b/>
                <w:bCs/>
              </w:rPr>
              <w:t>При заключении договоров на охрану имущества физических лиц не предусматривается увеличение или изменение оценочной стоимости.</w:t>
            </w:r>
          </w:p>
        </w:tc>
      </w:tr>
      <w:tr>
        <w:trPr>
          <w:trHeight w:val="1016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26"/>
              <w:shd w:fill="FFFFFF" w:val="clear"/>
              <w:snapToGrid w:val="false"/>
              <w:spacing w:lineRule="auto" w:line="240"/>
              <w:ind w:start="-20" w:end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3.2.</w:t>
            </w:r>
          </w:p>
        </w:tc>
        <w:tc>
          <w:tcPr>
            <w:tcW w:w="8545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bottom"/>
          </w:tcPr>
          <w:p>
            <w:pPr>
              <w:pStyle w:val="26"/>
              <w:shd w:fill="FFFFFF" w:val="clear"/>
              <w:spacing w:lineRule="auto" w:line="240"/>
              <w:ind w:end="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Централизованное наблюдение за состоянием системы тревожной сигнализации и оперативное реагирование на сообщения при срабатывании тревожной сигнализации МПХИГ:</w:t>
            </w:r>
          </w:p>
        </w:tc>
      </w:tr>
      <w:tr>
        <w:trPr>
          <w:trHeight w:val="630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3.2.1.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>Для ОВО г. Ижевска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285 руб.</w:t>
            </w:r>
          </w:p>
        </w:tc>
      </w:tr>
      <w:tr>
        <w:trPr>
          <w:trHeight w:val="709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3.2.2.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Для ОВО (МОВО) г.г. Воткинска, Глазова, Можги, Сарапула 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235 руб.</w:t>
            </w:r>
          </w:p>
        </w:tc>
      </w:tr>
      <w:tr>
        <w:trPr>
          <w:trHeight w:val="667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3.2.3.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Для ОВО (МОВО) районных центров 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186 руб.</w:t>
            </w:r>
          </w:p>
        </w:tc>
      </w:tr>
      <w:tr>
        <w:trPr>
          <w:trHeight w:val="1037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4pt"/>
                <w:rFonts w:eastAsia="Times New Roman" w:cs="Times New Roman"/>
                <w:b/>
                <w:bCs/>
                <w:color w:val="000000"/>
                <w:spacing w:val="0"/>
                <w:w w:val="100"/>
                <w:kern w:val="0"/>
                <w:sz w:val="24"/>
                <w:szCs w:val="24"/>
                <w:highlight w:val="white"/>
                <w:u w:val="none"/>
                <w:lang w:val="ru-RU" w:eastAsia="ru-RU" w:bidi="ar-SA"/>
              </w:rPr>
              <w:t>4</w:t>
            </w:r>
            <w:r>
              <w:rPr>
                <w:rStyle w:val="214pt"/>
                <w:b w:val="false"/>
                <w:bCs w:val="false"/>
                <w:sz w:val="24"/>
                <w:szCs w:val="24"/>
              </w:rPr>
              <w:t>.</w:t>
            </w:r>
          </w:p>
        </w:tc>
        <w:tc>
          <w:tcPr>
            <w:tcW w:w="8545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>
                <w:rStyle w:val="214pt"/>
                <w:sz w:val="24"/>
                <w:szCs w:val="24"/>
              </w:rPr>
              <w:t xml:space="preserve">Тарифы на </w:t>
            </w:r>
            <w:r>
              <w:rPr>
                <w:rStyle w:val="212pt"/>
                <w:b/>
                <w:sz w:val="24"/>
                <w:szCs w:val="24"/>
              </w:rPr>
              <w:t xml:space="preserve">компенсацию </w:t>
            </w:r>
            <w:r>
              <w:rPr>
                <w:b/>
                <w:color w:val="000000"/>
                <w:sz w:val="24"/>
                <w:szCs w:val="24"/>
              </w:rPr>
              <w:t>затрат за каждый выезд группы задержания на ложные срабатывания технических средств охраны по вине граждан и организаций</w:t>
            </w:r>
          </w:p>
        </w:tc>
      </w:tr>
      <w:tr>
        <w:trPr>
          <w:trHeight w:val="841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4.1.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04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При оперативном реагировании на сообщение </w:t>
            </w:r>
            <w:r>
              <w:rPr>
                <w:color w:val="000000"/>
                <w:sz w:val="24"/>
                <w:szCs w:val="24"/>
              </w:rPr>
              <w:t xml:space="preserve">о срабатывании охранно-пожарной и/или тревожной сигнализации для организаций,  </w:t>
            </w:r>
            <w:r>
              <w:rPr>
                <w:rStyle w:val="212pt"/>
                <w:sz w:val="24"/>
                <w:szCs w:val="24"/>
              </w:rPr>
              <w:t>граждан  (МПХИГ)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выезд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514 руб.</w:t>
            </w:r>
          </w:p>
        </w:tc>
      </w:tr>
      <w:tr>
        <w:trPr>
          <w:trHeight w:val="1233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4pt"/>
                <w:rFonts w:eastAsia="Times New Roman" w:cs="Times New Roman"/>
                <w:b/>
                <w:bCs/>
                <w:kern w:val="0"/>
                <w:sz w:val="24"/>
                <w:szCs w:val="24"/>
                <w:highlight w:val="white"/>
                <w:lang w:bidi="ar-SA"/>
              </w:rPr>
              <w:t>5</w:t>
            </w:r>
          </w:p>
        </w:tc>
        <w:tc>
          <w:tcPr>
            <w:tcW w:w="8545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both"/>
              <w:rPr/>
            </w:pPr>
            <w:r>
              <w:rPr>
                <w:rStyle w:val="214pt"/>
                <w:sz w:val="24"/>
                <w:szCs w:val="24"/>
              </w:rPr>
              <w:t>Тарифы на</w:t>
            </w:r>
            <w:r>
              <w:rPr>
                <w:rStyle w:val="212pt"/>
                <w:sz w:val="24"/>
                <w:szCs w:val="24"/>
              </w:rPr>
              <w:t xml:space="preserve"> </w:t>
            </w:r>
            <w:r>
              <w:rPr>
                <w:rStyle w:val="212pt"/>
                <w:b/>
                <w:sz w:val="24"/>
                <w:szCs w:val="24"/>
              </w:rPr>
              <w:t xml:space="preserve">охрану объектов, МПХИГ, подключенных на пульты централизованного наблюдения  </w:t>
            </w:r>
            <w:r>
              <w:rPr>
                <w:rStyle w:val="214pt"/>
                <w:bCs w:val="false"/>
                <w:sz w:val="24"/>
                <w:szCs w:val="24"/>
              </w:rPr>
              <w:t>мониторинговых компаний и частных охранных организаций</w:t>
            </w:r>
          </w:p>
        </w:tc>
      </w:tr>
      <w:tr>
        <w:trPr>
          <w:trHeight w:val="2100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>
                <w:bCs/>
                <w:color w:val="000000"/>
                <w:sz w:val="24"/>
                <w:szCs w:val="24"/>
                <w:highlight w:val="white"/>
              </w:rPr>
            </w:pPr>
            <w:r>
              <w:rPr>
                <w:bCs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04"/>
              <w:jc w:val="both"/>
              <w:rPr/>
            </w:pPr>
            <w:r>
              <w:rPr>
                <w:rStyle w:val="214pt"/>
                <w:b w:val="false"/>
                <w:bCs w:val="false"/>
                <w:sz w:val="24"/>
                <w:szCs w:val="24"/>
              </w:rPr>
              <w:t xml:space="preserve">Реагирование на сообщения о срабатывании охранно- пожарной и/или тревожной сигнализации на МПХИГ, поступающие с пультов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 xml:space="preserve">централизованного наблюдения  </w:t>
            </w:r>
            <w:r>
              <w:rPr>
                <w:rStyle w:val="214pt"/>
                <w:b w:val="false"/>
                <w:bCs w:val="false"/>
                <w:sz w:val="24"/>
                <w:szCs w:val="24"/>
              </w:rPr>
              <w:t>мониторинговых компаний и частных  охранных организаций, посредством программно- аппаратного комплекса взаимодействия с мониторинговыми компаниями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 xml:space="preserve">1 месяц                   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285 руб.</w:t>
            </w:r>
          </w:p>
        </w:tc>
      </w:tr>
      <w:tr>
        <w:trPr>
          <w:trHeight w:val="2265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04"/>
              <w:jc w:val="both"/>
              <w:rPr/>
            </w:pPr>
            <w:r>
              <w:rPr>
                <w:rStyle w:val="214pt"/>
                <w:b w:val="false"/>
                <w:bCs w:val="false"/>
                <w:sz w:val="24"/>
                <w:szCs w:val="24"/>
              </w:rPr>
              <w:t xml:space="preserve">Реагирование на сообщения о срабатывании охранно- пожарной и/или тревожной сигнализации, на объектах, поступающие с пультов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 xml:space="preserve">централизованного наблюдения </w:t>
            </w:r>
            <w:r>
              <w:rPr>
                <w:rStyle w:val="214pt"/>
                <w:b w:val="false"/>
                <w:bCs w:val="false"/>
                <w:sz w:val="24"/>
                <w:szCs w:val="24"/>
              </w:rPr>
              <w:t>мониторинговых компаний и частных охранных организаций, посредством программно-аппаратного комплекса взаимодействия с мониторинговыми компаниями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1 месяц                   (за 1 объект)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color w:val="000000"/>
                <w:sz w:val="24"/>
                <w:szCs w:val="24"/>
                <w:highlight w:val="white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1717 руб.</w:t>
            </w:r>
          </w:p>
        </w:tc>
      </w:tr>
      <w:tr>
        <w:trPr>
          <w:trHeight w:val="633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45" w:type="dxa"/>
            <w:gridSpan w:val="3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both"/>
              <w:rPr/>
            </w:pPr>
            <w:r>
              <w:rPr>
                <w:rStyle w:val="214pt2"/>
                <w:sz w:val="24"/>
                <w:szCs w:val="24"/>
              </w:rPr>
              <w:t xml:space="preserve">Тарифы на охрану </w:t>
            </w:r>
            <w:r>
              <w:rPr>
                <w:rStyle w:val="212pt"/>
                <w:b/>
                <w:sz w:val="24"/>
                <w:szCs w:val="24"/>
              </w:rPr>
              <w:t>автотранспортных средств</w:t>
            </w:r>
          </w:p>
        </w:tc>
      </w:tr>
      <w:tr>
        <w:trPr>
          <w:trHeight w:val="1200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napToGrid w:val="false"/>
              <w:spacing w:lineRule="auto" w:line="240"/>
              <w:ind w:start="-20" w:end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</w:r>
          </w:p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2pt"/>
                <w:b/>
                <w:bCs/>
                <w:sz w:val="24"/>
                <w:szCs w:val="24"/>
              </w:rPr>
              <w:t>6.1.</w:t>
            </w:r>
          </w:p>
        </w:tc>
        <w:tc>
          <w:tcPr>
            <w:tcW w:w="854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31"/>
              <w:jc w:val="both"/>
              <w:rPr/>
            </w:pPr>
            <w:r>
              <w:rPr>
                <w:rStyle w:val="214pt1"/>
                <w:sz w:val="24"/>
                <w:szCs w:val="24"/>
              </w:rPr>
              <w:t xml:space="preserve">Контроль за </w:t>
            </w:r>
            <w:r>
              <w:rPr>
                <w:rStyle w:val="212pt"/>
                <w:b/>
                <w:sz w:val="24"/>
                <w:szCs w:val="24"/>
              </w:rPr>
              <w:t xml:space="preserve">автотранспортным средством с помощью </w:t>
            </w:r>
            <w:bookmarkStart w:id="1" w:name="__DdeLink__6679_3037258713"/>
            <w:r>
              <w:rPr>
                <w:rStyle w:val="212pt"/>
                <w:b/>
                <w:sz w:val="24"/>
                <w:szCs w:val="24"/>
              </w:rPr>
              <w:t>спутниковых навигационных систем мониторинга</w:t>
            </w:r>
            <w:bookmarkEnd w:id="1"/>
            <w:r>
              <w:rPr>
                <w:rStyle w:val="212pt"/>
                <w:b/>
                <w:sz w:val="24"/>
                <w:szCs w:val="24"/>
              </w:rPr>
              <w:t xml:space="preserve"> Глонасс/</w:t>
            </w:r>
            <w:r>
              <w:rPr>
                <w:rStyle w:val="212pt"/>
                <w:b/>
                <w:sz w:val="24"/>
                <w:szCs w:val="24"/>
                <w:lang w:val="en-US"/>
              </w:rPr>
              <w:t>GPS</w:t>
            </w:r>
            <w:r>
              <w:rPr>
                <w:rStyle w:val="212pt"/>
                <w:b/>
                <w:sz w:val="24"/>
                <w:szCs w:val="24"/>
              </w:rPr>
              <w:t xml:space="preserve"> «Приток-МПО» и  </w:t>
            </w:r>
            <w:r>
              <w:rPr>
                <w:rStyle w:val="214pt"/>
                <w:b/>
                <w:bCs/>
                <w:sz w:val="24"/>
                <w:szCs w:val="24"/>
              </w:rPr>
              <w:t>программно-аппаратного комплекса взаимодействия с мониторинговыми компаниями</w:t>
            </w:r>
            <w:r>
              <w:rPr>
                <w:rStyle w:val="214pt"/>
                <w:b w:val="false"/>
                <w:bCs w:val="false"/>
                <w:sz w:val="24"/>
                <w:szCs w:val="24"/>
              </w:rPr>
              <w:t xml:space="preserve"> (</w:t>
            </w:r>
            <w:r>
              <w:rPr>
                <w:rStyle w:val="212pt"/>
                <w:b/>
                <w:sz w:val="24"/>
                <w:szCs w:val="24"/>
              </w:rPr>
              <w:t>«Алмаз»):</w:t>
            </w:r>
          </w:p>
        </w:tc>
      </w:tr>
      <w:tr>
        <w:trPr>
          <w:trHeight w:val="2370" w:hRule="exact"/>
        </w:trPr>
        <w:tc>
          <w:tcPr>
            <w:tcW w:w="67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6.1.1.</w:t>
            </w:r>
          </w:p>
        </w:tc>
        <w:tc>
          <w:tcPr>
            <w:tcW w:w="573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Контроль за автотранспортным средством с помощью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>спутниковой навигационной системы мониторинга</w:t>
            </w:r>
            <w:r>
              <w:rPr>
                <w:rStyle w:val="212pt"/>
                <w:sz w:val="24"/>
                <w:szCs w:val="24"/>
              </w:rPr>
              <w:t xml:space="preserve"> Глонасс/</w:t>
            </w:r>
            <w:r>
              <w:rPr>
                <w:rStyle w:val="212pt"/>
                <w:sz w:val="24"/>
                <w:szCs w:val="24"/>
                <w:lang w:val="en-US"/>
              </w:rPr>
              <w:t>GPS</w:t>
            </w:r>
            <w:r>
              <w:rPr>
                <w:rStyle w:val="212pt"/>
                <w:sz w:val="24"/>
                <w:szCs w:val="24"/>
              </w:rPr>
              <w:t xml:space="preserve"> «Приток-МПО» для органов государственной власти Российской Федерации и организаций, финансируемых за счет средств федерального бюджета, </w:t>
            </w:r>
            <w:r>
              <w:rPr>
                <w:color w:val="000000"/>
                <w:sz w:val="24"/>
                <w:szCs w:val="24"/>
              </w:rPr>
              <w:t xml:space="preserve">путем оперативного реагирования на сообщения </w:t>
            </w:r>
          </w:p>
        </w:tc>
        <w:tc>
          <w:tcPr>
            <w:tcW w:w="16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</w:t>
            </w:r>
          </w:p>
        </w:tc>
        <w:tc>
          <w:tcPr>
            <w:tcW w:w="11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3,5 руб.</w:t>
            </w:r>
          </w:p>
        </w:tc>
      </w:tr>
      <w:tr>
        <w:trPr>
          <w:trHeight w:val="1563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6.1.2.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Контроль за автотранспортным средством с помощью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>спутниковой навигационной системы мониторинга</w:t>
            </w:r>
            <w:r>
              <w:rPr>
                <w:rStyle w:val="212pt"/>
                <w:sz w:val="24"/>
                <w:szCs w:val="24"/>
              </w:rPr>
              <w:t xml:space="preserve"> Глонасс/</w:t>
            </w:r>
            <w:r>
              <w:rPr>
                <w:rStyle w:val="212pt"/>
                <w:sz w:val="24"/>
                <w:szCs w:val="24"/>
                <w:lang w:val="en-US"/>
              </w:rPr>
              <w:t>GPS</w:t>
            </w:r>
            <w:r>
              <w:rPr>
                <w:rStyle w:val="212pt"/>
                <w:sz w:val="24"/>
                <w:szCs w:val="24"/>
              </w:rPr>
              <w:t xml:space="preserve"> «Приток-МПО» для иных организаций, путем</w:t>
            </w:r>
            <w:r>
              <w:rPr>
                <w:color w:val="000000"/>
                <w:sz w:val="24"/>
                <w:szCs w:val="24"/>
              </w:rPr>
              <w:t xml:space="preserve"> оперативного реагирования на сообщения 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1 час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4,6 руб.</w:t>
            </w:r>
          </w:p>
        </w:tc>
      </w:tr>
      <w:tr>
        <w:trPr>
          <w:trHeight w:val="1568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6.1.3.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Контроль за автотранспортным средством с помощью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>спутниковой навигационной системы мониторинга Глонасс/</w:t>
            </w:r>
            <w:r>
              <w:rPr>
                <w:rStyle w:val="212pt"/>
                <w:b w:val="false"/>
                <w:bCs w:val="false"/>
                <w:sz w:val="24"/>
                <w:szCs w:val="24"/>
                <w:lang w:val="en-US"/>
              </w:rPr>
              <w:t>GPS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 xml:space="preserve"> «Приток-МПО»</w:t>
            </w:r>
            <w:r>
              <w:rPr>
                <w:rStyle w:val="212pt"/>
                <w:sz w:val="24"/>
                <w:szCs w:val="24"/>
              </w:rPr>
              <w:t xml:space="preserve"> для физических лиц, </w:t>
            </w:r>
            <w:r>
              <w:rPr>
                <w:color w:val="000000"/>
                <w:sz w:val="24"/>
                <w:szCs w:val="24"/>
              </w:rPr>
              <w:t xml:space="preserve">путем оперативного реагирования на сообщения  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285 руб.</w:t>
            </w:r>
          </w:p>
        </w:tc>
      </w:tr>
      <w:tr>
        <w:trPr>
          <w:trHeight w:val="3841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/>
              <w:t>6.1.4.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Контроль за автотранспортным средством с помощью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 xml:space="preserve">спутниковой навигационной системы мониторинга </w:t>
            </w:r>
            <w:r>
              <w:rPr>
                <w:rStyle w:val="214pt"/>
                <w:b w:val="false"/>
                <w:bCs w:val="false"/>
                <w:sz w:val="24"/>
                <w:szCs w:val="24"/>
              </w:rPr>
              <w:t xml:space="preserve">программно-аппаратный комплекс взаимодействия с мониторинговыми компаниями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 xml:space="preserve">(«Алмаз») для юридических и физических лиц, </w:t>
            </w:r>
            <w:r>
              <w:rPr>
                <w:rStyle w:val="214pt"/>
                <w:b w:val="false"/>
                <w:bCs w:val="false"/>
                <w:color w:val="000000"/>
                <w:sz w:val="24"/>
                <w:szCs w:val="24"/>
              </w:rPr>
              <w:t>путемоперативного реагирования на сообщения (при  заключении договора с собственником автотранспортного средства или его уполномоченным представителем на оказание услуг,связанных с проверкой сообщений  на территории Удмуртской Республики)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месяц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285 руб.</w:t>
            </w:r>
          </w:p>
        </w:tc>
      </w:tr>
      <w:tr>
        <w:trPr>
          <w:trHeight w:val="5040" w:hRule="exact"/>
        </w:trPr>
        <w:tc>
          <w:tcPr>
            <w:tcW w:w="675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start="-20" w:end="0"/>
              <w:jc w:val="center"/>
              <w:rPr/>
            </w:pPr>
            <w:r>
              <w:rPr>
                <w:rStyle w:val="212pt"/>
                <w:sz w:val="24"/>
                <w:szCs w:val="24"/>
              </w:rPr>
              <w:t>6.1.5.</w:t>
            </w:r>
          </w:p>
        </w:tc>
        <w:tc>
          <w:tcPr>
            <w:tcW w:w="5732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ind w:end="129"/>
              <w:jc w:val="both"/>
              <w:rPr/>
            </w:pPr>
            <w:r>
              <w:rPr>
                <w:rStyle w:val="212pt"/>
                <w:sz w:val="24"/>
                <w:szCs w:val="24"/>
              </w:rPr>
              <w:t xml:space="preserve">Реагирование наряда вневедомственной охраны на сообщения с автотранспортных средств, подключенных к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>спутниковой навигационной системе мониторинга</w:t>
            </w:r>
            <w:r>
              <w:rPr>
                <w:rStyle w:val="212pt"/>
                <w:sz w:val="24"/>
                <w:szCs w:val="24"/>
              </w:rPr>
              <w:t xml:space="preserve">  мониторинговой организации (при заключении договора </w:t>
            </w:r>
            <w:r>
              <w:rPr>
                <w:rStyle w:val="212pt"/>
                <w:color w:val="000000"/>
                <w:sz w:val="24"/>
                <w:szCs w:val="24"/>
              </w:rPr>
              <w:t>с</w:t>
            </w:r>
            <w:r>
              <w:rPr>
                <w:rStyle w:val="212pt"/>
                <w:sz w:val="24"/>
                <w:szCs w:val="24"/>
              </w:rPr>
              <w:t xml:space="preserve"> мониторинговой организацией, обеспечивающей прохождение сигнала на автоматизированное рабочее место 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 xml:space="preserve">спутниковой навигационной системы мониторинга </w:t>
            </w:r>
            <w:r>
              <w:rPr>
                <w:rStyle w:val="214pt"/>
                <w:b w:val="false"/>
                <w:bCs w:val="false"/>
                <w:sz w:val="24"/>
                <w:szCs w:val="24"/>
              </w:rPr>
              <w:t>программно-аппаратный комплекс взаимодействия с мониторинговыми компаниями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 xml:space="preserve"> («Алмаз»), на оказание услуг, связанных с проверкой сообщений от автотранспортного средства на территории Удмуртской Республики, в пределах зоны обслуживания ОВО (МОВО), в том числе при  экстерриториальном мониторинге передвижения автотранспортного средства (при транзитном следовании через территорию </w:t>
            </w:r>
            <w:r>
              <w:rPr>
                <w:rStyle w:val="212pt"/>
                <w:b w:val="false"/>
                <w:bCs w:val="false"/>
                <w:color w:val="000000"/>
                <w:sz w:val="24"/>
                <w:szCs w:val="24"/>
              </w:rPr>
              <w:t>Удмуртской Республики</w:t>
            </w:r>
            <w:r>
              <w:rPr>
                <w:rStyle w:val="212pt"/>
                <w:b w:val="false"/>
                <w:bCs w:val="false"/>
                <w:sz w:val="24"/>
                <w:szCs w:val="24"/>
              </w:rPr>
              <w:t>)</w:t>
            </w:r>
          </w:p>
        </w:tc>
        <w:tc>
          <w:tcPr>
            <w:tcW w:w="1637" w:type="dxa"/>
            <w:tcBorders>
              <w:star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выезд</w:t>
            </w:r>
          </w:p>
        </w:tc>
        <w:tc>
          <w:tcPr>
            <w:tcW w:w="117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26"/>
              <w:shd w:fill="FFFFFF" w:val="clear"/>
              <w:spacing w:lineRule="auto" w:line="240"/>
              <w:jc w:val="center"/>
              <w:rPr/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514</w:t>
            </w:r>
            <w:r>
              <w:rPr>
                <w:sz w:val="24"/>
                <w:szCs w:val="24"/>
              </w:rPr>
              <w:t xml:space="preserve"> руб.</w:t>
            </w:r>
          </w:p>
        </w:tc>
      </w:tr>
    </w:tbl>
    <w:p>
      <w:pPr>
        <w:pStyle w:val="42"/>
        <w:shd w:fill="FFFFFF" w:val="clear"/>
        <w:tabs>
          <w:tab w:val="clear" w:pos="709"/>
          <w:tab w:val="left" w:pos="851" w:leader="none"/>
        </w:tabs>
        <w:spacing w:lineRule="auto" w:line="240"/>
        <w:ind w:hanging="0" w:end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footnotePr>
        <w:numFmt w:val="decimal"/>
      </w:footnotePr>
      <w:type w:val="nextPage"/>
      <w:pgSz w:w="11906" w:h="16838"/>
      <w:pgMar w:left="1701" w:right="1134" w:gutter="0" w:header="1080" w:top="1440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PT Astra Serif">
    <w:charset w:val="01"/>
    <w:family w:val="roman"/>
    <w:pitch w:val="default"/>
  </w:font>
  <w:font w:name="Times New Roman">
    <w:charset w:val="cc" w:characterSet="windows-1251"/>
    <w:family w:val="roman"/>
    <w:pitch w:val="variable"/>
  </w:font>
  <w:font w:name="Arial">
    <w:charset w:val="cc" w:characterSet="windows-1251"/>
    <w:family w:val="swiss"/>
    <w:pitch w:val="variable"/>
  </w:font>
  <w:font w:name="Cambria">
    <w:charset w:val="cc" w:characterSet="windows-1251"/>
    <w:family w:val="roman"/>
    <w:pitch w:val="variable"/>
  </w:font>
  <w:font w:name="Courier New">
    <w:charset w:val="cc" w:characterSet="windows-1251"/>
    <w:family w:val="modern"/>
    <w:pitch w:val="default"/>
  </w:font>
  <w:font w:name="Tahoma">
    <w:charset w:val="cc" w:characterSet="windows-1251"/>
    <w:family w:val="swiss"/>
    <w:pitch w:val="variable"/>
  </w:font>
  <w:font w:name="Tahoma">
    <w:charset w:val="01"/>
    <w:family w:val="swiss"/>
    <w:pitch w:val="default"/>
  </w:font>
  <w:font w:name="Times New Roman">
    <w:charset w:val="01"/>
    <w:family w:val="roman"/>
    <w:pitch w:val="default"/>
  </w:font>
  <w:font w:name="PT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Verdana">
    <w:charset w:val="cc" w:characterSet="windows-1251"/>
    <w:family w:val="swiss"/>
    <w:pitch w:val="variable"/>
  </w:font>
  <w:font w:name="Tahoma">
    <w:charset w:val="cc" w:characterSet="windows-125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Style22"/>
        </w:rPr>
        <w:t>1</w:t>
      </w:r>
      <w:r>
        <w:rPr>
          <w:rStyle w:val="Style22"/>
          <w:rFonts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>Далее - «МПХИГ».</w:t>
      </w:r>
    </w:p>
    <w:p>
      <w:pPr>
        <w:pStyle w:val="FootnoteText"/>
        <w:rPr/>
      </w:pPr>
      <w:r>
        <w:rPr>
          <w:rFonts w:cs="Times New Roman" w:ascii="Times New Roman" w:hAnsi="Times New Roman"/>
          <w:vertAlign w:val="superscript"/>
        </w:rPr>
        <w:t>2</w:t>
      </w:r>
      <w:r>
        <w:rPr>
          <w:rFonts w:cs="Times New Roman" w:ascii="Times New Roman" w:hAnsi="Times New Roman"/>
        </w:rPr>
        <w:t xml:space="preserve"> Далее - «ОВО (МОВО)».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eastAsia="Times New Roman" w:cs="Times New Roman"/>
        <w:color w:val="auto"/>
        <w:sz w:val="20"/>
        <w:szCs w:val="20"/>
        <w:lang w:val="ru-RU" w:eastAsia="zh-CN" w:bidi="ar-SA"/>
      </w:rPr>
    </w:pPr>
    <w:r>
      <w:rPr>
        <w:rFonts w:eastAsia="Times New Roman" w:cs="Times New Roman"/>
        <w:color w:val="auto"/>
        <w:sz w:val="20"/>
        <w:szCs w:val="20"/>
        <w:lang w:val="ru-RU" w:eastAsia="zh-CN" w:bidi="ar-SA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eastAsia="Times New Roman" w:cs="Times New Roman"/>
        <w:color w:val="auto"/>
        <w:sz w:val="20"/>
        <w:szCs w:val="20"/>
        <w:lang w:val="ru-RU" w:eastAsia="zh-CN" w:bidi="ar-SA"/>
      </w:rPr>
    </w:pPr>
    <w:r>
      <w:rPr>
        <w:rFonts w:eastAsia="Times New Roman" w:cs="Times New Roman"/>
        <w:color w:val="auto"/>
        <w:sz w:val="20"/>
        <w:szCs w:val="20"/>
        <w:lang w:val="ru-RU" w:eastAsia="zh-CN" w:bidi="ar-SA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eastAsia="Times New Roman" w:cs="Times New Roman"/>
        <w:color w:val="auto"/>
        <w:sz w:val="20"/>
        <w:szCs w:val="20"/>
        <w:lang w:val="ru-RU" w:eastAsia="zh-CN" w:bidi="ar-SA"/>
      </w:rPr>
    </w:pPr>
    <w:r>
      <w:rPr>
        <w:rFonts w:eastAsia="Times New Roman" w:cs="Times New Roman"/>
        <w:color w:val="auto"/>
        <w:sz w:val="20"/>
        <w:szCs w:val="20"/>
        <w:lang w:val="ru-RU" w:eastAsia="zh-CN" w:bidi="ar-SA"/>
      </w:rPr>
    </w:r>
  </w:p>
  <w:p>
    <w:pPr>
      <w:pStyle w:val="Header"/>
      <w:jc w:val="center"/>
      <w:rPr>
        <w:rFonts w:eastAsia="Times New Roman" w:cs="Times New Roman"/>
        <w:color w:val="auto"/>
        <w:sz w:val="20"/>
        <w:szCs w:val="20"/>
        <w:lang w:val="ru-RU" w:eastAsia="zh-CN" w:bidi="ar-SA"/>
      </w:rPr>
    </w:pPr>
    <w:r>
      <w:rPr>
        <w:rFonts w:eastAsia="Times New Roman" w:cs="Times New Roman"/>
        <w:color w:val="auto"/>
        <w:sz w:val="20"/>
        <w:szCs w:val="20"/>
        <w:lang w:val="ru-RU" w:eastAsia="zh-CN" w:bidi="ar-SA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pStyle w:val="Heading4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hyphenationZone w:val="0"/>
  <w:evenAndOddHeaders/>
  <w:footnotePr>
    <w:numFmt w:val="decimal"/>
    <w:footnote w:id="0"/>
    <w:footnote w:id="1"/>
  </w:footnotePr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Noto Serif CJK SC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both"/>
      <w:outlineLvl w:val="0"/>
    </w:pPr>
    <w:rPr>
      <w:spacing w:val="-4"/>
      <w:sz w:val="28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rFonts w:ascii="Arial" w:hAnsi="Arial" w:cs="Arial"/>
      <w:b/>
      <w:sz w:val="32"/>
      <w:szCs w:val="20"/>
    </w:rPr>
  </w:style>
  <w:style w:type="paragraph" w:styleId="Heading4">
    <w:name w:val="heading 4"/>
    <w:basedOn w:val="Normal"/>
    <w:next w:val="Normal"/>
    <w:qFormat/>
    <w:pPr>
      <w:keepNext w:val="true"/>
      <w:keepLines/>
      <w:numPr>
        <w:ilvl w:val="3"/>
        <w:numId w:val="1"/>
      </w:numPr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1">
    <w:name w:val="Основной шрифт абзаца"/>
    <w:qFormat/>
    <w:rPr/>
  </w:style>
  <w:style w:type="character" w:styleId="DefaultParagraphFont">
    <w:name w:val="Default Paragraph Font"/>
    <w:qFormat/>
    <w:rPr/>
  </w:style>
  <w:style w:type="character" w:styleId="1">
    <w:name w:val="Заголовок 1 Знак"/>
    <w:basedOn w:val="DefaultParagraphFont"/>
    <w:qFormat/>
    <w:rPr>
      <w:rFonts w:ascii="Cambria" w:hAnsi="Cambria" w:cs="Times New Roman"/>
      <w:b/>
      <w:bCs/>
      <w:kern w:val="2"/>
      <w:sz w:val="32"/>
      <w:szCs w:val="32"/>
    </w:rPr>
  </w:style>
  <w:style w:type="character" w:styleId="3">
    <w:name w:val="Заголовок 3 Знак"/>
    <w:basedOn w:val="DefaultParagraphFont"/>
    <w:qFormat/>
    <w:rPr>
      <w:rFonts w:ascii="Cambria" w:hAnsi="Cambria" w:cs="Times New Roman"/>
      <w:b/>
      <w:bCs/>
      <w:sz w:val="26"/>
      <w:szCs w:val="26"/>
    </w:rPr>
  </w:style>
  <w:style w:type="character" w:styleId="4">
    <w:name w:val="Заголовок 4 Знак"/>
    <w:basedOn w:val="DefaultParagraphFont"/>
    <w:qFormat/>
    <w:rPr>
      <w:rFonts w:ascii="Cambria" w:hAnsi="Cambria" w:cs="Times New Roman"/>
      <w:b/>
      <w:bCs/>
      <w:i/>
      <w:iCs/>
      <w:color w:val="4F81BD"/>
      <w:sz w:val="24"/>
      <w:szCs w:val="24"/>
    </w:rPr>
  </w:style>
  <w:style w:type="character" w:styleId="Style12">
    <w:name w:val="Название Знак"/>
    <w:basedOn w:val="DefaultParagraphFont"/>
    <w:qFormat/>
    <w:rPr>
      <w:rFonts w:ascii="Arial" w:hAnsi="Arial" w:cs="Times New Roman"/>
      <w:b/>
      <w:sz w:val="28"/>
      <w:lang w:val="ru-RU" w:bidi="ar-SA"/>
    </w:rPr>
  </w:style>
  <w:style w:type="character" w:styleId="PlainTextChar">
    <w:name w:val="Plain Text Char"/>
    <w:qFormat/>
    <w:rPr>
      <w:rFonts w:ascii="Courier New" w:hAnsi="Courier New" w:cs="Courier New"/>
      <w:sz w:val="20"/>
    </w:rPr>
  </w:style>
  <w:style w:type="character" w:styleId="2">
    <w:name w:val="Знак Знак2"/>
    <w:basedOn w:val="DefaultParagraphFont"/>
    <w:qFormat/>
    <w:rPr>
      <w:rFonts w:cs="Times New Roman"/>
      <w:sz w:val="24"/>
      <w:szCs w:val="24"/>
      <w:lang w:val="ru-RU" w:bidi="ar-SA"/>
    </w:rPr>
  </w:style>
  <w:style w:type="character" w:styleId="Style13">
    <w:name w:val="Основной текст с отступом Знак"/>
    <w:basedOn w:val="DefaultParagraphFont"/>
    <w:qFormat/>
    <w:rPr>
      <w:rFonts w:cs="Times New Roman"/>
      <w:sz w:val="24"/>
      <w:szCs w:val="24"/>
    </w:rPr>
  </w:style>
  <w:style w:type="character" w:styleId="Style14">
    <w:name w:val="Основной текст Знак"/>
    <w:basedOn w:val="DefaultParagraphFont"/>
    <w:qFormat/>
    <w:rPr>
      <w:rFonts w:cs="Times New Roman"/>
      <w:sz w:val="24"/>
      <w:szCs w:val="24"/>
      <w:lang w:val="ru-RU" w:bidi="ar-SA"/>
    </w:rPr>
  </w:style>
  <w:style w:type="character" w:styleId="Style15">
    <w:name w:val="Верхний колонтитул Знак"/>
    <w:basedOn w:val="DefaultParagraphFont"/>
    <w:qFormat/>
    <w:rPr>
      <w:rFonts w:cs="Times New Roman"/>
      <w:sz w:val="24"/>
      <w:szCs w:val="24"/>
    </w:rPr>
  </w:style>
  <w:style w:type="character" w:styleId="BodyText3Char">
    <w:name w:val="Body Text 3 Char"/>
    <w:qFormat/>
    <w:rPr>
      <w:b/>
      <w:sz w:val="24"/>
      <w:lang w:val="ru-RU"/>
    </w:rPr>
  </w:style>
  <w:style w:type="character" w:styleId="PageNumber">
    <w:name w:val="page number"/>
    <w:basedOn w:val="DefaultParagraphFont"/>
    <w:qFormat/>
    <w:rPr>
      <w:rFonts w:cs="Times New Roman"/>
    </w:rPr>
  </w:style>
  <w:style w:type="character" w:styleId="31">
    <w:name w:val="Основной текст 3 Знак"/>
    <w:basedOn w:val="DefaultParagraphFont"/>
    <w:qFormat/>
    <w:rPr>
      <w:rFonts w:cs="Times New Roman"/>
      <w:sz w:val="16"/>
      <w:szCs w:val="16"/>
    </w:rPr>
  </w:style>
  <w:style w:type="character" w:styleId="BodyTextIndent3Char">
    <w:name w:val="Body Text Indent 3 Char"/>
    <w:qFormat/>
    <w:rPr>
      <w:sz w:val="16"/>
    </w:rPr>
  </w:style>
  <w:style w:type="character" w:styleId="32">
    <w:name w:val="Основной текст с отступом 3 Знак"/>
    <w:basedOn w:val="DefaultParagraphFont"/>
    <w:qFormat/>
    <w:rPr>
      <w:rFonts w:cs="Times New Roman"/>
      <w:sz w:val="16"/>
      <w:szCs w:val="16"/>
    </w:rPr>
  </w:style>
  <w:style w:type="character" w:styleId="Style16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Style17">
    <w:name w:val="Подзаголовок Знак"/>
    <w:basedOn w:val="DefaultParagraphFont"/>
    <w:qFormat/>
    <w:rPr>
      <w:rFonts w:ascii="Cambria" w:hAnsi="Cambria" w:cs="Times New Roman"/>
      <w:sz w:val="24"/>
      <w:szCs w:val="24"/>
    </w:rPr>
  </w:style>
  <w:style w:type="character" w:styleId="21">
    <w:name w:val="Основной текст с отступом 2 Знак"/>
    <w:basedOn w:val="DefaultParagraphFont"/>
    <w:qFormat/>
    <w:rPr>
      <w:rFonts w:cs="Times New Roman"/>
      <w:sz w:val="24"/>
      <w:szCs w:val="24"/>
    </w:rPr>
  </w:style>
  <w:style w:type="character" w:styleId="211">
    <w:name w:val="Знак Знак21"/>
    <w:basedOn w:val="DefaultParagraphFont"/>
    <w:qFormat/>
    <w:rPr>
      <w:rFonts w:cs="Times New Roman"/>
      <w:sz w:val="24"/>
      <w:szCs w:val="24"/>
      <w:lang w:val="ru-RU" w:bidi="ar-SA"/>
    </w:rPr>
  </w:style>
  <w:style w:type="character" w:styleId="11">
    <w:name w:val="Знак Знак1"/>
    <w:basedOn w:val="DefaultParagraphFont"/>
    <w:qFormat/>
    <w:rPr>
      <w:rFonts w:cs="Times New Roman"/>
      <w:b/>
      <w:bCs/>
      <w:sz w:val="24"/>
      <w:szCs w:val="24"/>
      <w:lang w:val="ru-RU" w:bidi="ar-SA"/>
    </w:rPr>
  </w:style>
  <w:style w:type="character" w:styleId="22">
    <w:name w:val="Основной текст 2 Знак"/>
    <w:basedOn w:val="DefaultParagraphFont"/>
    <w:qFormat/>
    <w:rPr>
      <w:rFonts w:cs="Times New Roman"/>
      <w:sz w:val="24"/>
      <w:szCs w:val="24"/>
    </w:rPr>
  </w:style>
  <w:style w:type="character" w:styleId="Style18">
    <w:name w:val="Нижний колонтитул Знак"/>
    <w:basedOn w:val="DefaultParagraphFont"/>
    <w:qFormat/>
    <w:rPr>
      <w:rFonts w:cs="Times New Roman"/>
      <w:sz w:val="24"/>
      <w:szCs w:val="24"/>
    </w:rPr>
  </w:style>
  <w:style w:type="character" w:styleId="Style19">
    <w:name w:val="Текст Знак"/>
    <w:basedOn w:val="DefaultParagraphFont"/>
    <w:qFormat/>
    <w:rPr>
      <w:rFonts w:ascii="Courier New" w:hAnsi="Courier New" w:cs="Courier New"/>
      <w:sz w:val="20"/>
      <w:szCs w:val="20"/>
    </w:rPr>
  </w:style>
  <w:style w:type="character" w:styleId="Style20">
    <w:name w:val="Цитата Знак"/>
    <w:basedOn w:val="DefaultParagraphFont"/>
    <w:qFormat/>
    <w:rPr>
      <w:rFonts w:cs="Times New Roman"/>
      <w:b/>
      <w:sz w:val="20"/>
      <w:szCs w:val="20"/>
    </w:rPr>
  </w:style>
  <w:style w:type="character" w:styleId="apple-converted-space">
    <w:name w:val="apple-converted-space"/>
    <w:basedOn w:val="DefaultParagraphFont"/>
    <w:qFormat/>
    <w:rPr>
      <w:rFonts w:cs="Times New Roman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21">
    <w:name w:val="Текст сноски Знак"/>
    <w:basedOn w:val="DefaultParagraphFont"/>
    <w:qFormat/>
    <w:rPr>
      <w:rFonts w:cs="Times New Roman"/>
      <w:sz w:val="20"/>
      <w:szCs w:val="20"/>
    </w:rPr>
  </w:style>
  <w:style w:type="character" w:styleId="Style22">
    <w:name w:val="Символ сноски"/>
    <w:qFormat/>
    <w:rPr>
      <w:rFonts w:cs="Times New Roman"/>
      <w:vertAlign w:val="superscript"/>
    </w:rPr>
  </w:style>
  <w:style w:type="character" w:styleId="FootnoteCharacters">
    <w:name w:val="Footnote Characters"/>
    <w:basedOn w:val="DefaultParagraphFont"/>
    <w:qFormat/>
    <w:rPr>
      <w:rFonts w:cs="Times New Roman"/>
      <w:vertAlign w:val="superscript"/>
    </w:rPr>
  </w:style>
  <w:style w:type="character" w:styleId="WW-">
    <w:name w:val="WW-Символ сноски"/>
    <w:qFormat/>
    <w:rPr/>
  </w:style>
  <w:style w:type="character" w:styleId="Style23">
    <w:name w:val="Символ концевой сноски"/>
    <w:qFormat/>
    <w:rPr>
      <w:vertAlign w:val="superscript"/>
    </w:rPr>
  </w:style>
  <w:style w:type="character" w:styleId="WW-1">
    <w:name w:val="WW-Символ концевой сноски"/>
    <w:qFormat/>
    <w:rPr/>
  </w:style>
  <w:style w:type="character" w:styleId="Style24">
    <w:name w:val="Знак сноски"/>
    <w:qFormat/>
    <w:rPr>
      <w:vertAlign w:val="superscript"/>
    </w:rPr>
  </w:style>
  <w:style w:type="character" w:styleId="Style25">
    <w:name w:val="Знак концевой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12">
    <w:name w:val="Текст выноски Знак1"/>
    <w:qFormat/>
    <w:rPr>
      <w:rFonts w:ascii="Tahoma" w:hAnsi="Tahoma" w:eastAsia="Tahoma" w:cs="Tahoma"/>
      <w:sz w:val="16"/>
      <w:szCs w:val="16"/>
    </w:rPr>
  </w:style>
  <w:style w:type="character" w:styleId="13">
    <w:name w:val="Знак концевой сноски1"/>
    <w:qFormat/>
    <w:rPr>
      <w:vertAlign w:val="superscript"/>
    </w:rPr>
  </w:style>
  <w:style w:type="character" w:styleId="14">
    <w:name w:val="Знак сноски1"/>
    <w:qFormat/>
    <w:rPr>
      <w:vertAlign w:val="superscript"/>
    </w:rPr>
  </w:style>
  <w:style w:type="character" w:styleId="15">
    <w:name w:val="Основной шрифт абзаца1"/>
    <w:qFormat/>
    <w:rPr/>
  </w:style>
  <w:style w:type="character" w:styleId="WW8Num3z8">
    <w:name w:val="WW8Num3z8"/>
    <w:qFormat/>
    <w:rPr/>
  </w:style>
  <w:style w:type="character" w:styleId="WW8Num3z7">
    <w:name w:val="WW8Num3z7"/>
    <w:qFormat/>
    <w:rPr/>
  </w:style>
  <w:style w:type="character" w:styleId="WW8Num3z6">
    <w:name w:val="WW8Num3z6"/>
    <w:qFormat/>
    <w:rPr/>
  </w:style>
  <w:style w:type="character" w:styleId="WW8Num3z5">
    <w:name w:val="WW8Num3z5"/>
    <w:qFormat/>
    <w:rPr/>
  </w:style>
  <w:style w:type="character" w:styleId="WW8Num3z4">
    <w:name w:val="WW8Num3z4"/>
    <w:qFormat/>
    <w:rPr/>
  </w:style>
  <w:style w:type="character" w:styleId="WW8Num3z3">
    <w:name w:val="WW8Num3z3"/>
    <w:qFormat/>
    <w:rPr/>
  </w:style>
  <w:style w:type="character" w:styleId="WW8Num3z2">
    <w:name w:val="WW8Num3z2"/>
    <w:qFormat/>
    <w:rPr/>
  </w:style>
  <w:style w:type="character" w:styleId="WW8Num3z1">
    <w:name w:val="WW8Num3z1"/>
    <w:qFormat/>
    <w:rPr/>
  </w:style>
  <w:style w:type="character" w:styleId="WW8Num3z0">
    <w:name w:val="WW8Num3z0"/>
    <w:qFormat/>
    <w:rPr>
      <w:sz w:val="28"/>
    </w:rPr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2z0">
    <w:name w:val="WW8Num2z0"/>
    <w:qFormat/>
    <w:rPr/>
  </w:style>
  <w:style w:type="character" w:styleId="23">
    <w:name w:val="Основной текст (2)_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212pt">
    <w:name w:val="Основной текст (2) + 12 pt"/>
    <w:basedOn w:val="23"/>
    <w:qFormat/>
    <w:rPr>
      <w:color w:val="000000"/>
      <w:spacing w:val="0"/>
      <w:w w:val="100"/>
      <w:sz w:val="24"/>
      <w:szCs w:val="24"/>
      <w:u w:val="none"/>
      <w:lang w:val="ru-RU" w:eastAsia="ru-RU"/>
    </w:rPr>
  </w:style>
  <w:style w:type="character" w:styleId="214pt">
    <w:name w:val="Основной текст (2) + 14 pt"/>
    <w:basedOn w:val="23"/>
    <w:qFormat/>
    <w:rPr>
      <w:b/>
      <w:bCs/>
      <w:color w:val="000000"/>
      <w:spacing w:val="0"/>
      <w:w w:val="100"/>
      <w:sz w:val="28"/>
      <w:szCs w:val="28"/>
      <w:u w:val="none"/>
      <w:lang w:val="ru-RU" w:eastAsia="ru-RU"/>
    </w:rPr>
  </w:style>
  <w:style w:type="character" w:styleId="214pt2">
    <w:name w:val="Основной текст (2) + 14 pt2"/>
    <w:basedOn w:val="23"/>
    <w:qFormat/>
    <w:rPr>
      <w:b/>
      <w:bCs/>
      <w:color w:val="000000"/>
      <w:spacing w:val="0"/>
      <w:w w:val="100"/>
      <w:sz w:val="28"/>
      <w:szCs w:val="28"/>
      <w:u w:val="none"/>
      <w:lang w:val="ru-RU" w:eastAsia="ru-RU"/>
    </w:rPr>
  </w:style>
  <w:style w:type="character" w:styleId="214pt1">
    <w:name w:val="Основной текст (2) + 14 pt1"/>
    <w:basedOn w:val="23"/>
    <w:qFormat/>
    <w:rPr>
      <w:b/>
      <w:bCs/>
      <w:color w:val="000000"/>
      <w:spacing w:val="0"/>
      <w:w w:val="100"/>
      <w:sz w:val="28"/>
      <w:szCs w:val="28"/>
      <w:u w:val="none"/>
      <w:lang w:val="ru-RU" w:eastAsia="ru-RU"/>
    </w:rPr>
  </w:style>
  <w:style w:type="paragraph" w:styleId="Style26">
    <w:name w:val="Заголовок"/>
    <w:basedOn w:val="Normal"/>
    <w:next w:val="BodyText"/>
    <w:qFormat/>
    <w:pPr>
      <w:keepNext w:val="true"/>
      <w:spacing w:before="240" w:after="120"/>
    </w:pPr>
    <w:rPr>
      <w:rFonts w:ascii="PT Sans;Arial" w:hAnsi="PT Sans;Arial" w:eastAsia="Tahoma" w:cs="Noto Sans Devanagari;Times New Roman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8"/>
    </w:rPr>
  </w:style>
  <w:style w:type="paragraph" w:styleId="List">
    <w:name w:val="List"/>
    <w:basedOn w:val="BodyText"/>
    <w:pPr/>
    <w:rPr>
      <w:rFonts w:ascii="PT Sans;Arial" w:hAnsi="PT Sans;Arial" w:cs="Noto Sans Devanagari;Times New Roman"/>
    </w:rPr>
  </w:style>
  <w:style w:type="paragraph" w:styleId="Caption">
    <w:name w:val="caption"/>
    <w:basedOn w:val="Normal"/>
    <w:next w:val="BodyText"/>
    <w:qFormat/>
    <w:pPr>
      <w:jc w:val="center"/>
    </w:pPr>
    <w:rPr>
      <w:rFonts w:ascii="Arial" w:hAnsi="Arial" w:cs="Arial"/>
      <w:b/>
      <w:sz w:val="28"/>
      <w:szCs w:val="20"/>
    </w:rPr>
  </w:style>
  <w:style w:type="paragraph" w:styleId="Style27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8">
    <w:name w:val="Название объекта"/>
    <w:basedOn w:val="Normal"/>
    <w:qFormat/>
    <w:pPr>
      <w:suppressLineNumbers/>
      <w:spacing w:before="120" w:after="120"/>
    </w:pPr>
    <w:rPr>
      <w:rFonts w:ascii="PT Sans;Arial" w:hAnsi="PT Sans;Arial" w:cs="Noto Sans Devanagari;Times New Roman"/>
      <w:i/>
      <w:iCs/>
      <w:sz w:val="24"/>
      <w:szCs w:val="24"/>
    </w:rPr>
  </w:style>
  <w:style w:type="paragraph" w:styleId="16">
    <w:name w:val="Указатель1"/>
    <w:basedOn w:val="Normal"/>
    <w:qFormat/>
    <w:pPr>
      <w:suppressLineNumbers/>
    </w:pPr>
    <w:rPr>
      <w:rFonts w:ascii="PT Sans;Arial" w:hAnsi="PT Sans;Arial" w:cs="Noto Sans Devanagari;Times New Roman"/>
    </w:rPr>
  </w:style>
  <w:style w:type="paragraph" w:styleId="17">
    <w:name w:val="Знак Знак Знак1"/>
    <w:basedOn w:val="Normal"/>
    <w:qFormat/>
    <w:pPr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ConsPlusNormal">
    <w:name w:val="ConsPlus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paragraph" w:styleId="33">
    <w:name w:val="Знак Знак Знак3"/>
    <w:basedOn w:val="Normal"/>
    <w:qFormat/>
    <w:pPr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BodyTextIndent">
    <w:name w:val="Body Text Indent"/>
    <w:basedOn w:val="Normal"/>
    <w:pPr>
      <w:ind w:firstLine="567" w:start="0" w:end="0"/>
      <w:jc w:val="both"/>
    </w:pPr>
    <w:rPr>
      <w:rFonts w:ascii="Arial" w:hAnsi="Arial" w:cs="Arial"/>
      <w:szCs w:val="20"/>
    </w:rPr>
  </w:style>
  <w:style w:type="paragraph" w:styleId="Style29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0">
    <w:name w:val="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09"/>
        <w:tab w:val="center" w:pos="4677" w:leader="none"/>
        <w:tab w:val="right" w:pos="9355" w:leader="none"/>
      </w:tabs>
    </w:pPr>
    <w:rPr>
      <w:sz w:val="20"/>
      <w:szCs w:val="20"/>
    </w:rPr>
  </w:style>
  <w:style w:type="paragraph" w:styleId="18">
    <w:name w:val="Знак Знак1 Знак Знак Знак Знак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BodyText3">
    <w:name w:val="Body Text 3"/>
    <w:basedOn w:val="Normal"/>
    <w:qFormat/>
    <w:pPr>
      <w:jc w:val="both"/>
    </w:pPr>
    <w:rPr>
      <w:b/>
      <w:bCs/>
    </w:rPr>
  </w:style>
  <w:style w:type="paragraph" w:styleId="BodyTextIndent3">
    <w:name w:val="Body Text Indent 3"/>
    <w:basedOn w:val="Normal"/>
    <w:qFormat/>
    <w:pPr>
      <w:spacing w:before="0" w:after="120"/>
      <w:ind w:hanging="0" w:start="283" w:end="0"/>
    </w:pPr>
    <w:rPr>
      <w:sz w:val="16"/>
      <w:szCs w:val="16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BodyText"/>
    <w:qFormat/>
    <w:pPr>
      <w:jc w:val="center"/>
    </w:pPr>
    <w:rPr>
      <w:szCs w:val="20"/>
    </w:rPr>
  </w:style>
  <w:style w:type="paragraph" w:styleId="41">
    <w:name w:val="Знак Знак Знак4"/>
    <w:basedOn w:val="Normal"/>
    <w:qFormat/>
    <w:pPr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BodyTextIndent2">
    <w:name w:val="Body Text Indent 2"/>
    <w:basedOn w:val="Normal"/>
    <w:qFormat/>
    <w:pPr>
      <w:spacing w:lineRule="auto" w:line="480" w:before="0" w:after="120"/>
      <w:ind w:hanging="0" w:start="283" w:end="0"/>
    </w:pPr>
    <w:rPr/>
  </w:style>
  <w:style w:type="paragraph" w:styleId="Style31">
    <w:name w:val="Знак Знак Знак"/>
    <w:basedOn w:val="Normal"/>
    <w:qFormat/>
    <w:pPr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24">
    <w:name w:val="Знак Знак Знак2"/>
    <w:basedOn w:val="Normal"/>
    <w:qFormat/>
    <w:pPr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Style32">
    <w:name w:val="Знак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BodyText2">
    <w:name w:val="Body Text 2"/>
    <w:basedOn w:val="Normal"/>
    <w:qFormat/>
    <w:pPr>
      <w:spacing w:lineRule="auto" w:line="480" w:before="0" w:after="120"/>
    </w:pPr>
    <w:rPr/>
  </w:style>
  <w:style w:type="paragraph" w:styleId="Style33">
    <w:name w:val="Знак Знак Знак Знак Знак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Footer">
    <w:name w:val="foot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PlainText">
    <w:name w:val="Plain Text"/>
    <w:basedOn w:val="Normal"/>
    <w:qFormat/>
    <w:pPr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qFormat/>
    <w:pPr>
      <w:spacing w:before="0" w:after="0"/>
      <w:ind w:hanging="0" w:start="720" w:end="0"/>
      <w:contextualSpacing/>
    </w:pPr>
    <w:rPr/>
  </w:style>
  <w:style w:type="paragraph" w:styleId="5">
    <w:name w:val="Знак Знак Знак5"/>
    <w:basedOn w:val="Normal"/>
    <w:qFormat/>
    <w:pPr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BlockText">
    <w:name w:val="Block Text"/>
    <w:basedOn w:val="Normal"/>
    <w:qFormat/>
    <w:pPr>
      <w:ind w:hanging="0" w:start="1276" w:end="-766"/>
    </w:pPr>
    <w:rPr>
      <w:b/>
      <w:szCs w:val="20"/>
    </w:rPr>
  </w:style>
  <w:style w:type="paragraph" w:styleId="19">
    <w:name w:val="Знак1 Знак Знак Знак Знак Знак Знак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151">
    <w:name w:val="Знак1 Знак Знак Знак Знак Знак Знак5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141">
    <w:name w:val="Знак1 Знак Знак Знак Знак Знак Знак4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131">
    <w:name w:val="Знак1 Знак Знак Знак Знак Знак Знак3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121">
    <w:name w:val="Знак1 Знак Знак Знак Знак Знак Знак2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111">
    <w:name w:val="Знак1 Знак Знак Знак Знак Знак Знак1"/>
    <w:basedOn w:val="Normal"/>
    <w:qFormat/>
    <w:pPr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FootnoteText">
    <w:name w:val="footnote text"/>
    <w:basedOn w:val="Normal"/>
    <w:pPr/>
    <w:rPr>
      <w:sz w:val="20"/>
      <w:szCs w:val="20"/>
    </w:rPr>
  </w:style>
  <w:style w:type="paragraph" w:styleId="EndnoteText">
    <w:name w:val="endnote text"/>
    <w:basedOn w:val="Normal"/>
    <w:pPr>
      <w:suppressLineNumbers/>
      <w:ind w:hanging="339" w:start="339" w:end="0"/>
    </w:pPr>
    <w:rPr>
      <w:sz w:val="20"/>
      <w:szCs w:val="20"/>
    </w:rPr>
  </w:style>
  <w:style w:type="paragraph" w:styleId="Style34">
    <w:name w:val="Абзац списка"/>
    <w:basedOn w:val="Normal"/>
    <w:qFormat/>
    <w:pPr>
      <w:suppressAutoHyphens w:val="false"/>
      <w:spacing w:before="0" w:after="0"/>
      <w:ind w:hanging="0" w:start="720" w:end="0"/>
      <w:contextualSpacing/>
    </w:pPr>
    <w:rPr/>
  </w:style>
  <w:style w:type="paragraph" w:styleId="Style35">
    <w:name w:val="Текст выноски"/>
    <w:basedOn w:val="Normal"/>
    <w:qFormat/>
    <w:pPr/>
    <w:rPr>
      <w:rFonts w:ascii="Tahoma" w:hAnsi="Tahoma" w:eastAsia="Tahoma" w:cs="Tahoma"/>
      <w:sz w:val="16"/>
      <w:szCs w:val="16"/>
      <w:lang w:eastAsia="ar-SA"/>
    </w:rPr>
  </w:style>
  <w:style w:type="paragraph" w:styleId="110">
    <w:name w:val="Название объекта1"/>
    <w:basedOn w:val="Normal"/>
    <w:qFormat/>
    <w:pPr>
      <w:spacing w:before="120" w:after="120"/>
    </w:pPr>
    <w:rPr>
      <w:rFonts w:eastAsia="Noto Sans Devanagari"/>
      <w:i/>
      <w:iCs/>
      <w:lang w:eastAsia="ar-SA"/>
    </w:rPr>
  </w:style>
  <w:style w:type="paragraph" w:styleId="25">
    <w:name w:val="Указатель2"/>
    <w:basedOn w:val="Normal"/>
    <w:qFormat/>
    <w:pPr/>
    <w:rPr>
      <w:rFonts w:eastAsia="Noto Sans Devanagari"/>
      <w:lang w:eastAsia="ar-SA"/>
    </w:rPr>
  </w:style>
  <w:style w:type="paragraph" w:styleId="Footnote">
    <w:name w:val="Footnote"/>
    <w:basedOn w:val="Normal"/>
    <w:qFormat/>
    <w:pPr>
      <w:spacing w:lineRule="auto" w:line="240" w:before="0" w:after="0"/>
    </w:pPr>
    <w:rPr>
      <w:rFonts w:ascii="Times New Roman" w:hAnsi="Times New Roman" w:cs="Times New Roman"/>
      <w:sz w:val="20"/>
    </w:rPr>
  </w:style>
  <w:style w:type="paragraph" w:styleId="26">
    <w:name w:val="Основной текст (2)"/>
    <w:basedOn w:val="Normal"/>
    <w:qFormat/>
    <w:pPr>
      <w:widowControl w:val="false"/>
      <w:spacing w:lineRule="atLeast" w:line="240" w:before="0" w:after="0"/>
    </w:pPr>
    <w:rPr>
      <w:rFonts w:ascii="Times New Roman" w:hAnsi="Times New Roman" w:cs="Times New Roman"/>
      <w:sz w:val="26"/>
    </w:rPr>
  </w:style>
  <w:style w:type="paragraph" w:styleId="42">
    <w:name w:val="Основной текст (4)"/>
    <w:basedOn w:val="Normal"/>
    <w:qFormat/>
    <w:pPr>
      <w:widowControl w:val="false"/>
      <w:shd w:fill="FFFFFF" w:val="clear"/>
      <w:spacing w:lineRule="atLeast" w:line="240" w:before="0" w:after="0"/>
      <w:ind w:hanging="360" w:start="0" w:end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6">
    <w:name w:val="Заголовок №6"/>
    <w:basedOn w:val="Normal"/>
    <w:qFormat/>
    <w:pPr>
      <w:widowControl w:val="false"/>
      <w:shd w:fill="FFFFFF" w:val="clear"/>
      <w:spacing w:lineRule="exact" w:line="326" w:before="300" w:after="0"/>
      <w:jc w:val="center"/>
    </w:pPr>
    <w:rPr>
      <w:rFonts w:ascii="Times New Roman" w:hAnsi="Times New Roman" w:eastAsia="Times New Roman" w:cs="Times New Roman"/>
      <w:b/>
      <w:bCs/>
      <w:sz w:val="28"/>
      <w:szCs w:val="28"/>
      <w:lang w:eastAsia="ru-RU"/>
    </w:rPr>
  </w:style>
  <w:style w:type="paragraph" w:styleId="7">
    <w:name w:val="Заголовок №7"/>
    <w:basedOn w:val="Normal"/>
    <w:qFormat/>
    <w:pPr>
      <w:widowControl w:val="false"/>
      <w:shd w:fill="FFFFFF" w:val="clear"/>
      <w:spacing w:lineRule="exact" w:line="326" w:before="0" w:after="0"/>
      <w:jc w:val="center"/>
    </w:pPr>
    <w:rPr>
      <w:rFonts w:ascii="Times New Roman" w:hAnsi="Times New Roman" w:eastAsia="Times New Roman" w:cs="Times New Roman"/>
      <w:sz w:val="26"/>
      <w:szCs w:val="26"/>
      <w:lang w:eastAsia="ru-RU"/>
    </w:rPr>
  </w:style>
  <w:style w:type="paragraph" w:styleId="Style36">
    <w:name w:val="Содержимое таблицы"/>
    <w:basedOn w:val="Normal"/>
    <w:qFormat/>
    <w:pPr>
      <w:suppressLineNumbers/>
    </w:pPr>
    <w:rPr/>
  </w:style>
  <w:style w:type="paragraph" w:styleId="Style37">
    <w:name w:val="Заголовок таблицы"/>
    <w:basedOn w:val="Style36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notes" Target="footnotes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1962</TotalTime>
  <Application>LibreOffice/25.2.6.2$Linux_X86_64 LibreOffice_project/520$Build-2</Application>
  <AppVersion>15.0000</AppVersion>
  <DocSecurity>0</DocSecurity>
  <Pages>4</Pages>
  <Words>706</Words>
  <Characters>4992</Characters>
  <CharactersWithSpaces>5726</CharactersWithSpaces>
  <Paragraphs>117</Paragraphs>
  <Company>MoBIL GROUP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2024-12-13T15:08:00Z</cp:lastPrinted>
  <dcterms:modified xsi:type="dcterms:W3CDTF">2025-06-19T11:34:47Z</dcterms:modified>
  <cp:revision>84</cp:revision>
  <dc:subject/>
  <dc:title>Федеральное государственное казенное учреждение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